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D4A" w:rsidRDefault="00E01C7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University of South Alabama Fall 2024 Admission and Scholarship information</w:t>
      </w:r>
    </w:p>
    <w:p w:rsidR="00183D4A" w:rsidRDefault="00183D4A"/>
    <w:p w:rsidR="00183D4A" w:rsidRDefault="00E01C78">
      <w:pPr>
        <w:rPr>
          <w:b/>
          <w:u w:val="single"/>
        </w:rPr>
      </w:pPr>
      <w:r>
        <w:rPr>
          <w:b/>
          <w:u w:val="single"/>
        </w:rPr>
        <w:t>Admissions</w:t>
      </w:r>
    </w:p>
    <w:p w:rsidR="00183D4A" w:rsidRDefault="00183D4A">
      <w:pPr>
        <w:rPr>
          <w:u w:val="single"/>
        </w:rPr>
      </w:pPr>
    </w:p>
    <w:p w:rsidR="00183D4A" w:rsidRDefault="00E01C78">
      <w:pPr>
        <w:numPr>
          <w:ilvl w:val="0"/>
          <w:numId w:val="4"/>
        </w:numPr>
      </w:pPr>
      <w:r>
        <w:t xml:space="preserve">USA admissions application is OPEN! </w:t>
      </w:r>
    </w:p>
    <w:p w:rsidR="00183D4A" w:rsidRDefault="00E01C78">
      <w:pPr>
        <w:numPr>
          <w:ilvl w:val="0"/>
          <w:numId w:val="4"/>
        </w:numPr>
      </w:pPr>
      <w:r>
        <w:t>USA will be offering fall 2024 applicants a test-optional path for admission to USA. Students with high school GPA's with a 3.4 or better will be automatically admitted to South. Students with GPA's below a 3.4 will enter a review process for admission. Th</w:t>
      </w:r>
      <w:r>
        <w:t xml:space="preserve">ese students could be asked to supply additional materials. </w:t>
      </w:r>
    </w:p>
    <w:p w:rsidR="00183D4A" w:rsidRDefault="00E01C78">
      <w:pPr>
        <w:numPr>
          <w:ilvl w:val="0"/>
          <w:numId w:val="4"/>
        </w:numPr>
      </w:pPr>
      <w:r>
        <w:t>Documents Required</w:t>
      </w:r>
    </w:p>
    <w:p w:rsidR="00183D4A" w:rsidRDefault="00E01C78">
      <w:pPr>
        <w:numPr>
          <w:ilvl w:val="0"/>
          <w:numId w:val="1"/>
        </w:numPr>
        <w:shd w:val="clear" w:color="auto" w:fill="FFFFFF"/>
      </w:pPr>
      <w:r>
        <w:t>Official high school transcript reflecting a minimum 2.50 GPA</w:t>
      </w:r>
    </w:p>
    <w:p w:rsidR="00183D4A" w:rsidRDefault="00E01C78">
      <w:pPr>
        <w:numPr>
          <w:ilvl w:val="0"/>
          <w:numId w:val="1"/>
        </w:numPr>
        <w:shd w:val="clear" w:color="auto" w:fill="FFFFFF"/>
      </w:pPr>
      <w:r>
        <w:t xml:space="preserve">Official ACT or SAT scores: a minimum ACT </w:t>
      </w:r>
      <w:proofErr w:type="spellStart"/>
      <w:r>
        <w:t>superscore</w:t>
      </w:r>
      <w:proofErr w:type="spellEnd"/>
      <w:r>
        <w:t xml:space="preserve"> of 19 OR a minimum SAT (critical reading + math only) score o</w:t>
      </w:r>
      <w:r>
        <w:t>f 900 (if taken prior to March 2016) OR a minimum SAT (Evidence-based reading and writing + math only) score of 990 (if take March 2016 or after)</w:t>
      </w:r>
    </w:p>
    <w:p w:rsidR="00183D4A" w:rsidRDefault="00E01C78">
      <w:pPr>
        <w:numPr>
          <w:ilvl w:val="0"/>
          <w:numId w:val="1"/>
        </w:numPr>
        <w:shd w:val="clear" w:color="auto" w:fill="FFFFFF"/>
        <w:spacing w:after="160"/>
      </w:pPr>
      <w:r>
        <w:t>These standards are general requirements. All students with strong academic records are encouraged to apply fo</w:t>
      </w:r>
      <w:r>
        <w:t>r admission.</w:t>
      </w:r>
    </w:p>
    <w:p w:rsidR="00183D4A" w:rsidRDefault="00E01C78">
      <w:pPr>
        <w:rPr>
          <w:b/>
          <w:u w:val="single"/>
        </w:rPr>
      </w:pPr>
      <w:r>
        <w:rPr>
          <w:b/>
          <w:u w:val="single"/>
        </w:rPr>
        <w:t>Merit Scholarships</w:t>
      </w:r>
    </w:p>
    <w:p w:rsidR="00183D4A" w:rsidRDefault="00183D4A">
      <w:pPr>
        <w:rPr>
          <w:b/>
          <w:u w:val="single"/>
        </w:rPr>
      </w:pPr>
    </w:p>
    <w:p w:rsidR="00183D4A" w:rsidRDefault="00E01C78">
      <w:pPr>
        <w:numPr>
          <w:ilvl w:val="0"/>
          <w:numId w:val="4"/>
        </w:numPr>
        <w:shd w:val="clear" w:color="auto" w:fill="FFFFFF"/>
      </w:pPr>
      <w:r>
        <w:t xml:space="preserve">After acceptance to USA, incoming first-time freshman will automatically be reviewed for the Freshman Admission awards. A scholarship award notification will be emailed to qualified students through their </w:t>
      </w:r>
      <w:proofErr w:type="spellStart"/>
      <w:r>
        <w:t>JagMail</w:t>
      </w:r>
      <w:proofErr w:type="spellEnd"/>
      <w:r>
        <w:t xml:space="preserve"> account.</w:t>
      </w:r>
      <w:r>
        <w:rPr>
          <w:color w:val="505050"/>
          <w:sz w:val="24"/>
          <w:szCs w:val="24"/>
          <w:highlight w:val="white"/>
        </w:rPr>
        <w:t xml:space="preserve"> </w:t>
      </w:r>
    </w:p>
    <w:p w:rsidR="00183D4A" w:rsidRDefault="00E01C78">
      <w:pPr>
        <w:numPr>
          <w:ilvl w:val="0"/>
          <w:numId w:val="4"/>
        </w:numPr>
      </w:pPr>
      <w:r>
        <w:t>Students who choose the test optional track will also be eligible for scholarships. Scholarships for test-optional students will be awarded based on strength of curriculum, grades, and a variety of other factors. Students with ACT 21 or better and/or SAT 1</w:t>
      </w:r>
      <w:r>
        <w:t xml:space="preserve">060 or better submit their scores. </w:t>
      </w:r>
    </w:p>
    <w:p w:rsidR="00183D4A" w:rsidRDefault="00E01C78">
      <w:pPr>
        <w:numPr>
          <w:ilvl w:val="0"/>
          <w:numId w:val="4"/>
        </w:numPr>
      </w:pPr>
      <w:r>
        <w:t>To ensure consideration for USA Scholarships, incoming freshman should apply for admission by the priority deadline of their senior year. Priority Admission Deadline date is February 15.</w:t>
      </w:r>
    </w:p>
    <w:p w:rsidR="00183D4A" w:rsidRDefault="00E01C78">
      <w:pPr>
        <w:numPr>
          <w:ilvl w:val="0"/>
          <w:numId w:val="4"/>
        </w:numPr>
        <w:shd w:val="clear" w:color="auto" w:fill="FFFFFF"/>
        <w:spacing w:after="160"/>
      </w:pPr>
      <w:r>
        <w:t>See the table below for the tuiti</w:t>
      </w:r>
      <w:r>
        <w:t>on awards</w:t>
      </w:r>
    </w:p>
    <w:p w:rsidR="00183D4A" w:rsidRDefault="00183D4A">
      <w:pPr>
        <w:shd w:val="clear" w:color="auto" w:fill="FFFFFF"/>
        <w:spacing w:after="160"/>
      </w:pPr>
    </w:p>
    <w:p w:rsidR="00183D4A" w:rsidRDefault="00183D4A">
      <w:pPr>
        <w:shd w:val="clear" w:color="auto" w:fill="FFFFFF"/>
        <w:spacing w:after="160"/>
      </w:pPr>
    </w:p>
    <w:p w:rsidR="00183D4A" w:rsidRDefault="00183D4A">
      <w:pPr>
        <w:shd w:val="clear" w:color="auto" w:fill="FFFFFF"/>
        <w:spacing w:after="160"/>
      </w:pPr>
    </w:p>
    <w:p w:rsidR="00183D4A" w:rsidRDefault="00183D4A">
      <w:pPr>
        <w:shd w:val="clear" w:color="auto" w:fill="FFFFFF"/>
        <w:spacing w:after="160"/>
      </w:pPr>
    </w:p>
    <w:p w:rsidR="00183D4A" w:rsidRDefault="00183D4A">
      <w:pPr>
        <w:shd w:val="clear" w:color="auto" w:fill="FFFFFF"/>
        <w:spacing w:after="160"/>
      </w:pPr>
    </w:p>
    <w:p w:rsidR="00183D4A" w:rsidRDefault="00183D4A">
      <w:pPr>
        <w:shd w:val="clear" w:color="auto" w:fill="FFFFFF"/>
        <w:spacing w:after="160"/>
      </w:pPr>
    </w:p>
    <w:p w:rsidR="00183D4A" w:rsidRDefault="00183D4A">
      <w:pPr>
        <w:shd w:val="clear" w:color="auto" w:fill="FFFFFF"/>
        <w:spacing w:after="160"/>
        <w:rPr>
          <w:b/>
          <w:u w:val="single"/>
        </w:rPr>
      </w:pPr>
    </w:p>
    <w:tbl>
      <w:tblPr>
        <w:tblStyle w:val="a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770"/>
        <w:gridCol w:w="1770"/>
        <w:gridCol w:w="1785"/>
        <w:gridCol w:w="1785"/>
      </w:tblGrid>
      <w:tr w:rsidR="00183D4A">
        <w:trPr>
          <w:trHeight w:val="1290"/>
        </w:trPr>
        <w:tc>
          <w:tcPr>
            <w:tcW w:w="1770" w:type="dxa"/>
            <w:tcBorders>
              <w:top w:val="nil"/>
              <w:left w:val="nil"/>
              <w:bottom w:val="single" w:sz="12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83D4A" w:rsidRDefault="00E01C78">
            <w:pPr>
              <w:shd w:val="clear" w:color="auto" w:fill="FFFFFF"/>
              <w:spacing w:after="300" w:line="342" w:lineRule="auto"/>
              <w:jc w:val="center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lastRenderedPageBreak/>
              <w:t>ACT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12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83D4A" w:rsidRDefault="00E01C78">
            <w:pPr>
              <w:shd w:val="clear" w:color="auto" w:fill="FFFFFF"/>
              <w:spacing w:after="300" w:line="342" w:lineRule="auto"/>
              <w:jc w:val="center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SAT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12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83D4A" w:rsidRDefault="00E01C78">
            <w:pPr>
              <w:shd w:val="clear" w:color="auto" w:fill="FFFFFF"/>
              <w:spacing w:after="300" w:line="342" w:lineRule="auto"/>
              <w:jc w:val="center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High School GPA</w:t>
            </w:r>
          </w:p>
          <w:p w:rsidR="00183D4A" w:rsidRDefault="00E01C78">
            <w:pPr>
              <w:shd w:val="clear" w:color="auto" w:fill="FFFFFF"/>
              <w:spacing w:after="300" w:line="342" w:lineRule="auto"/>
              <w:jc w:val="center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3.0-3.49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12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83D4A" w:rsidRDefault="00E01C78">
            <w:pPr>
              <w:shd w:val="clear" w:color="auto" w:fill="FFFFFF"/>
              <w:spacing w:after="300" w:line="342" w:lineRule="auto"/>
              <w:jc w:val="center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High School GPA</w:t>
            </w:r>
          </w:p>
          <w:p w:rsidR="00183D4A" w:rsidRDefault="00E01C78">
            <w:pPr>
              <w:shd w:val="clear" w:color="auto" w:fill="FFFFFF"/>
              <w:spacing w:after="300" w:line="342" w:lineRule="auto"/>
              <w:jc w:val="center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3.5 - 3.74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12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83D4A" w:rsidRDefault="00E01C78">
            <w:pPr>
              <w:shd w:val="clear" w:color="auto" w:fill="FFFFFF"/>
              <w:spacing w:after="300" w:line="342" w:lineRule="auto"/>
              <w:jc w:val="center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High School GPA</w:t>
            </w:r>
          </w:p>
          <w:p w:rsidR="00183D4A" w:rsidRDefault="00E01C78">
            <w:pPr>
              <w:shd w:val="clear" w:color="auto" w:fill="FFFFFF"/>
              <w:spacing w:after="300" w:line="342" w:lineRule="auto"/>
              <w:jc w:val="center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3.75 &amp; Higher</w:t>
            </w:r>
          </w:p>
        </w:tc>
      </w:tr>
      <w:tr w:rsidR="00183D4A">
        <w:trPr>
          <w:trHeight w:val="600"/>
        </w:trPr>
        <w:tc>
          <w:tcPr>
            <w:tcW w:w="17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21-22</w:t>
            </w:r>
          </w:p>
        </w:tc>
        <w:tc>
          <w:tcPr>
            <w:tcW w:w="17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1060-1120</w:t>
            </w:r>
          </w:p>
        </w:tc>
        <w:tc>
          <w:tcPr>
            <w:tcW w:w="17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$2,000</w:t>
            </w:r>
          </w:p>
        </w:tc>
        <w:tc>
          <w:tcPr>
            <w:tcW w:w="17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$2,500</w:t>
            </w:r>
          </w:p>
        </w:tc>
        <w:tc>
          <w:tcPr>
            <w:tcW w:w="17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$3,000</w:t>
            </w:r>
          </w:p>
        </w:tc>
      </w:tr>
      <w:tr w:rsidR="00183D4A">
        <w:trPr>
          <w:trHeight w:val="600"/>
        </w:trPr>
        <w:tc>
          <w:tcPr>
            <w:tcW w:w="17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23-24</w:t>
            </w:r>
          </w:p>
        </w:tc>
        <w:tc>
          <w:tcPr>
            <w:tcW w:w="17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1130-1190</w:t>
            </w:r>
          </w:p>
        </w:tc>
        <w:tc>
          <w:tcPr>
            <w:tcW w:w="17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$3,000</w:t>
            </w:r>
          </w:p>
        </w:tc>
        <w:tc>
          <w:tcPr>
            <w:tcW w:w="178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$3,500</w:t>
            </w:r>
          </w:p>
        </w:tc>
        <w:tc>
          <w:tcPr>
            <w:tcW w:w="178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$4,000</w:t>
            </w:r>
          </w:p>
        </w:tc>
      </w:tr>
      <w:tr w:rsidR="00183D4A">
        <w:trPr>
          <w:trHeight w:val="600"/>
        </w:trPr>
        <w:tc>
          <w:tcPr>
            <w:tcW w:w="17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25-26</w:t>
            </w:r>
          </w:p>
        </w:tc>
        <w:tc>
          <w:tcPr>
            <w:tcW w:w="17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1200-1250</w:t>
            </w:r>
          </w:p>
        </w:tc>
        <w:tc>
          <w:tcPr>
            <w:tcW w:w="17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$3,500</w:t>
            </w:r>
          </w:p>
        </w:tc>
        <w:tc>
          <w:tcPr>
            <w:tcW w:w="17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$4,000</w:t>
            </w:r>
          </w:p>
        </w:tc>
        <w:tc>
          <w:tcPr>
            <w:tcW w:w="17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$5,000</w:t>
            </w:r>
          </w:p>
        </w:tc>
      </w:tr>
      <w:tr w:rsidR="00183D4A">
        <w:trPr>
          <w:trHeight w:val="600"/>
        </w:trPr>
        <w:tc>
          <w:tcPr>
            <w:tcW w:w="17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27-29</w:t>
            </w:r>
          </w:p>
        </w:tc>
        <w:tc>
          <w:tcPr>
            <w:tcW w:w="17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1260-1350</w:t>
            </w:r>
          </w:p>
        </w:tc>
        <w:tc>
          <w:tcPr>
            <w:tcW w:w="17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$4,000</w:t>
            </w:r>
          </w:p>
        </w:tc>
        <w:tc>
          <w:tcPr>
            <w:tcW w:w="178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$5500</w:t>
            </w:r>
          </w:p>
        </w:tc>
        <w:tc>
          <w:tcPr>
            <w:tcW w:w="178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$6,000</w:t>
            </w:r>
          </w:p>
        </w:tc>
      </w:tr>
      <w:tr w:rsidR="00183D4A">
        <w:trPr>
          <w:trHeight w:val="600"/>
        </w:trPr>
        <w:tc>
          <w:tcPr>
            <w:tcW w:w="17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30-31</w:t>
            </w:r>
          </w:p>
        </w:tc>
        <w:tc>
          <w:tcPr>
            <w:tcW w:w="17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1360-1410</w:t>
            </w:r>
          </w:p>
        </w:tc>
        <w:tc>
          <w:tcPr>
            <w:tcW w:w="17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$4,500</w:t>
            </w:r>
          </w:p>
        </w:tc>
        <w:tc>
          <w:tcPr>
            <w:tcW w:w="17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$7,000</w:t>
            </w:r>
          </w:p>
        </w:tc>
        <w:tc>
          <w:tcPr>
            <w:tcW w:w="17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$8,000</w:t>
            </w:r>
          </w:p>
        </w:tc>
      </w:tr>
      <w:tr w:rsidR="00183D4A">
        <w:trPr>
          <w:trHeight w:val="585"/>
        </w:trPr>
        <w:tc>
          <w:tcPr>
            <w:tcW w:w="17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color w:val="505050"/>
                <w:sz w:val="24"/>
                <w:szCs w:val="24"/>
                <w:u w:val="single"/>
              </w:rPr>
              <w:t>≥ 32</w:t>
            </w:r>
          </w:p>
        </w:tc>
        <w:tc>
          <w:tcPr>
            <w:tcW w:w="17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1420-1600</w:t>
            </w:r>
          </w:p>
        </w:tc>
        <w:tc>
          <w:tcPr>
            <w:tcW w:w="17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>$5,000</w:t>
            </w:r>
          </w:p>
        </w:tc>
        <w:tc>
          <w:tcPr>
            <w:tcW w:w="178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 xml:space="preserve">Full Tuition¹ </w:t>
            </w:r>
          </w:p>
        </w:tc>
        <w:tc>
          <w:tcPr>
            <w:tcW w:w="178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83D4A" w:rsidRDefault="00E01C78">
            <w:pPr>
              <w:shd w:val="clear" w:color="auto" w:fill="FFFFFF"/>
              <w:spacing w:after="300" w:line="342" w:lineRule="auto"/>
              <w:rPr>
                <w:b/>
                <w:color w:val="505050"/>
                <w:sz w:val="24"/>
                <w:szCs w:val="24"/>
                <w:u w:val="single"/>
              </w:rPr>
            </w:pPr>
            <w:r>
              <w:rPr>
                <w:b/>
                <w:color w:val="505050"/>
                <w:sz w:val="24"/>
                <w:szCs w:val="24"/>
                <w:u w:val="single"/>
              </w:rPr>
              <w:t xml:space="preserve">Full Tuition¹ </w:t>
            </w:r>
          </w:p>
        </w:tc>
      </w:tr>
    </w:tbl>
    <w:p w:rsidR="00183D4A" w:rsidRDefault="00E01C78">
      <w:pPr>
        <w:shd w:val="clear" w:color="auto" w:fill="FFFFFF"/>
        <w:spacing w:after="160"/>
        <w:rPr>
          <w:b/>
          <w:u w:val="single"/>
        </w:rPr>
      </w:pPr>
      <w:r>
        <w:rPr>
          <w:b/>
          <w:u w:val="single"/>
        </w:rPr>
        <w:t>Scholarships for Test-Optional Track</w:t>
      </w:r>
    </w:p>
    <w:p w:rsidR="00183D4A" w:rsidRDefault="00E01C78">
      <w:pPr>
        <w:numPr>
          <w:ilvl w:val="0"/>
          <w:numId w:val="2"/>
        </w:numPr>
        <w:shd w:val="clear" w:color="auto" w:fill="FFFFFF"/>
        <w:spacing w:after="160"/>
        <w:rPr>
          <w:b/>
        </w:rPr>
      </w:pPr>
      <w:r>
        <w:t xml:space="preserve">Students who choose the test-optional admissions track may also be eligible for a Freshman Admission Achievement scholarship. Scholarships for test-optional students will be awarded based on strength of curriculum, grades, and a variety of other factors. </w:t>
      </w:r>
    </w:p>
    <w:p w:rsidR="00183D4A" w:rsidRDefault="00E01C78">
      <w:pPr>
        <w:pStyle w:val="Heading2"/>
        <w:keepNext w:val="0"/>
        <w:keepLines w:val="0"/>
        <w:shd w:val="clear" w:color="auto" w:fill="FFFFFF"/>
        <w:spacing w:before="300" w:after="160" w:line="264" w:lineRule="auto"/>
        <w:ind w:left="720" w:hanging="360"/>
        <w:rPr>
          <w:sz w:val="22"/>
          <w:szCs w:val="22"/>
        </w:rPr>
      </w:pPr>
      <w:bookmarkStart w:id="1" w:name="_i8kwvzl5fzz8" w:colFirst="0" w:colLast="0"/>
      <w:bookmarkEnd w:id="1"/>
      <w:r>
        <w:rPr>
          <w:sz w:val="22"/>
          <w:szCs w:val="22"/>
        </w:rPr>
        <w:t>Qualifications:</w:t>
      </w:r>
    </w:p>
    <w:p w:rsidR="00183D4A" w:rsidRDefault="00E01C78">
      <w:pPr>
        <w:numPr>
          <w:ilvl w:val="0"/>
          <w:numId w:val="3"/>
        </w:numPr>
        <w:shd w:val="clear" w:color="auto" w:fill="FFFFFF"/>
      </w:pPr>
      <w:r>
        <w:t>Be a U. S. citizen, applied for Permanent Residency, or Permanent Resident attending a U.S. High School;</w:t>
      </w:r>
    </w:p>
    <w:p w:rsidR="00183D4A" w:rsidRDefault="00E01C78">
      <w:pPr>
        <w:numPr>
          <w:ilvl w:val="0"/>
          <w:numId w:val="3"/>
        </w:numPr>
        <w:shd w:val="clear" w:color="auto" w:fill="FFFFFF"/>
      </w:pPr>
      <w:r>
        <w:t>Be an incoming first-time freshman;</w:t>
      </w:r>
    </w:p>
    <w:p w:rsidR="00183D4A" w:rsidRDefault="00E01C78">
      <w:pPr>
        <w:numPr>
          <w:ilvl w:val="0"/>
          <w:numId w:val="3"/>
        </w:numPr>
        <w:shd w:val="clear" w:color="auto" w:fill="FFFFFF"/>
        <w:spacing w:after="160"/>
      </w:pPr>
      <w:r>
        <w:t xml:space="preserve">Have at least a 3.0 High School GPA. </w:t>
      </w:r>
    </w:p>
    <w:p w:rsidR="00183D4A" w:rsidRDefault="00E01C78">
      <w:pPr>
        <w:shd w:val="clear" w:color="auto" w:fill="FFFFFF"/>
        <w:spacing w:after="160"/>
      </w:pPr>
      <w:r>
        <w:t>To be eligible, students must apply using the test-optional a</w:t>
      </w:r>
      <w:r>
        <w:t>dmissions process. All test-optional admission applicants that submit their application and supporting documents by the priority deadline date will be considered.</w:t>
      </w:r>
    </w:p>
    <w:p w:rsidR="00183D4A" w:rsidRDefault="00E01C78">
      <w:pPr>
        <w:shd w:val="clear" w:color="auto" w:fill="FFFFFF"/>
        <w:spacing w:after="160"/>
      </w:pPr>
      <w:r>
        <w:t>Scholarship award values range from $2,000 and $9,000 per year.</w:t>
      </w:r>
    </w:p>
    <w:p w:rsidR="00183D4A" w:rsidRDefault="00183D4A">
      <w:pPr>
        <w:rPr>
          <w:b/>
          <w:u w:val="single"/>
        </w:rPr>
      </w:pPr>
    </w:p>
    <w:p w:rsidR="00183D4A" w:rsidRDefault="00183D4A">
      <w:pPr>
        <w:rPr>
          <w:b/>
          <w:u w:val="single"/>
        </w:rPr>
      </w:pPr>
    </w:p>
    <w:p w:rsidR="00183D4A" w:rsidRDefault="00E01C78">
      <w:pPr>
        <w:rPr>
          <w:b/>
          <w:u w:val="single"/>
        </w:rPr>
      </w:pPr>
      <w:r>
        <w:rPr>
          <w:b/>
          <w:u w:val="single"/>
        </w:rPr>
        <w:t>Competitive Scholarships</w:t>
      </w:r>
    </w:p>
    <w:p w:rsidR="00183D4A" w:rsidRDefault="00E01C78">
      <w:pPr>
        <w:numPr>
          <w:ilvl w:val="0"/>
          <w:numId w:val="5"/>
        </w:numPr>
        <w:rPr>
          <w:b/>
        </w:rPr>
      </w:pPr>
      <w:r>
        <w:t xml:space="preserve">Once accepted to USA, students will log into </w:t>
      </w:r>
      <w:proofErr w:type="spellStart"/>
      <w:r>
        <w:t>JagSPOT</w:t>
      </w:r>
      <w:proofErr w:type="spellEnd"/>
      <w:r>
        <w:t xml:space="preserve"> using your student credentials - your Jag Number and your </w:t>
      </w:r>
      <w:proofErr w:type="spellStart"/>
      <w:r>
        <w:t>JagMail</w:t>
      </w:r>
      <w:proofErr w:type="spellEnd"/>
      <w:r>
        <w:t xml:space="preserve"> password. </w:t>
      </w:r>
    </w:p>
    <w:p w:rsidR="00183D4A" w:rsidRDefault="00E01C78">
      <w:pPr>
        <w:numPr>
          <w:ilvl w:val="0"/>
          <w:numId w:val="5"/>
        </w:numPr>
      </w:pPr>
      <w:r>
        <w:t>Once you have identified scholarships you qualify for you can pin them to work on later, save your in-progress applications, a</w:t>
      </w:r>
      <w:r>
        <w:t xml:space="preserve">nd check on the status of your completed applications. </w:t>
      </w:r>
    </w:p>
    <w:p w:rsidR="00183D4A" w:rsidRDefault="00183D4A">
      <w:pPr>
        <w:rPr>
          <w:b/>
          <w:u w:val="single"/>
        </w:rPr>
      </w:pPr>
    </w:p>
    <w:p w:rsidR="00183D4A" w:rsidRDefault="00E01C78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Checklist for Incoming Freshmen</w:t>
      </w:r>
    </w:p>
    <w:p w:rsidR="00183D4A" w:rsidRDefault="00E01C78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 </w:t>
      </w:r>
    </w:p>
    <w:p w:rsidR="00183D4A" w:rsidRDefault="00E01C78">
      <w:pPr>
        <w:shd w:val="clear" w:color="auto" w:fill="FFFFFF"/>
        <w:rPr>
          <w:color w:val="242424"/>
          <w:sz w:val="24"/>
          <w:szCs w:val="24"/>
        </w:rPr>
      </w:pPr>
      <w:r>
        <w:rPr>
          <w:noProof/>
          <w:color w:val="242424"/>
          <w:sz w:val="24"/>
          <w:szCs w:val="24"/>
        </w:rPr>
        <w:drawing>
          <wp:inline distT="114300" distB="114300" distL="114300" distR="114300">
            <wp:extent cx="393700" cy="381000"/>
            <wp:effectExtent l="0" t="0" r="0" b="0"/>
            <wp:docPr id="2" name="image1.png" descr="Checkli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ecklis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6">
        <w:r>
          <w:rPr>
            <w:color w:val="3072AB"/>
            <w:sz w:val="24"/>
            <w:szCs w:val="24"/>
            <w:u w:val="single"/>
          </w:rPr>
          <w:t>Apply for admission</w:t>
        </w:r>
      </w:hyperlink>
      <w:hyperlink r:id="rId7">
        <w:r>
          <w:rPr>
            <w:b/>
            <w:color w:val="3072AB"/>
            <w:sz w:val="24"/>
            <w:szCs w:val="24"/>
            <w:u w:val="single"/>
          </w:rPr>
          <w:t xml:space="preserve"> </w:t>
        </w:r>
      </w:hyperlink>
      <w:r>
        <w:rPr>
          <w:color w:val="242424"/>
          <w:sz w:val="24"/>
          <w:szCs w:val="24"/>
        </w:rPr>
        <w:t>with all application materials received by December 1st to ensure sufficient notification time as well as time to complete scholarship applications in advance of the dead</w:t>
      </w:r>
      <w:r>
        <w:rPr>
          <w:color w:val="242424"/>
          <w:sz w:val="24"/>
          <w:szCs w:val="24"/>
        </w:rPr>
        <w:t>lines.</w:t>
      </w:r>
      <w:r>
        <w:fldChar w:fldCharType="begin"/>
      </w:r>
      <w:r>
        <w:instrText xml:space="preserve"> HYPERLINK "https://www.southalabama.edu/departments/admissions/applytousa.html" </w:instrText>
      </w:r>
      <w:r>
        <w:fldChar w:fldCharType="separate"/>
      </w:r>
    </w:p>
    <w:p w:rsidR="00183D4A" w:rsidRDefault="00E01C78">
      <w:pPr>
        <w:shd w:val="clear" w:color="auto" w:fill="FFFFFF"/>
        <w:rPr>
          <w:color w:val="242424"/>
          <w:sz w:val="24"/>
          <w:szCs w:val="24"/>
        </w:rPr>
      </w:pPr>
      <w:r>
        <w:fldChar w:fldCharType="end"/>
      </w:r>
      <w:r>
        <w:rPr>
          <w:color w:val="242424"/>
          <w:sz w:val="24"/>
          <w:szCs w:val="24"/>
        </w:rPr>
        <w:t xml:space="preserve"> </w:t>
      </w:r>
    </w:p>
    <w:p w:rsidR="00183D4A" w:rsidRDefault="00E01C78">
      <w:pPr>
        <w:shd w:val="clear" w:color="auto" w:fill="FFFFFF"/>
        <w:rPr>
          <w:color w:val="242424"/>
          <w:sz w:val="24"/>
          <w:szCs w:val="24"/>
        </w:rPr>
      </w:pPr>
      <w:r>
        <w:rPr>
          <w:noProof/>
          <w:color w:val="242424"/>
          <w:sz w:val="24"/>
          <w:szCs w:val="24"/>
        </w:rPr>
        <w:drawing>
          <wp:inline distT="114300" distB="114300" distL="114300" distR="114300">
            <wp:extent cx="393700" cy="381000"/>
            <wp:effectExtent l="0" t="0" r="0" b="0"/>
            <wp:docPr id="4" name="image4.png" descr="Checkli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hecklis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42424"/>
          <w:sz w:val="24"/>
          <w:szCs w:val="24"/>
        </w:rPr>
        <w:t xml:space="preserve">Complete the General Scholarship Application through the USA's </w:t>
      </w:r>
      <w:r>
        <w:rPr>
          <w:b/>
          <w:color w:val="00205B"/>
          <w:sz w:val="24"/>
          <w:szCs w:val="24"/>
        </w:rPr>
        <w:t>S</w:t>
      </w:r>
      <w:r>
        <w:rPr>
          <w:color w:val="242424"/>
          <w:sz w:val="24"/>
          <w:szCs w:val="24"/>
        </w:rPr>
        <w:t xml:space="preserve">cholarship </w:t>
      </w:r>
      <w:r>
        <w:rPr>
          <w:b/>
          <w:color w:val="00205B"/>
          <w:sz w:val="24"/>
          <w:szCs w:val="24"/>
        </w:rPr>
        <w:t>P</w:t>
      </w:r>
      <w:r>
        <w:rPr>
          <w:color w:val="242424"/>
          <w:sz w:val="24"/>
          <w:szCs w:val="24"/>
        </w:rPr>
        <w:t xml:space="preserve">rogram </w:t>
      </w:r>
      <w:r>
        <w:rPr>
          <w:b/>
          <w:color w:val="00205B"/>
          <w:sz w:val="24"/>
          <w:szCs w:val="24"/>
        </w:rPr>
        <w:t>O</w:t>
      </w:r>
      <w:r>
        <w:rPr>
          <w:color w:val="242424"/>
          <w:sz w:val="24"/>
          <w:szCs w:val="24"/>
        </w:rPr>
        <w:t xml:space="preserve">pportunity </w:t>
      </w:r>
      <w:r>
        <w:rPr>
          <w:b/>
          <w:color w:val="00205B"/>
          <w:sz w:val="24"/>
          <w:szCs w:val="24"/>
        </w:rPr>
        <w:t>T</w:t>
      </w:r>
      <w:r>
        <w:rPr>
          <w:color w:val="242424"/>
          <w:sz w:val="24"/>
          <w:szCs w:val="24"/>
        </w:rPr>
        <w:t>racker portal (</w:t>
      </w:r>
      <w:proofErr w:type="spellStart"/>
      <w:r>
        <w:rPr>
          <w:b/>
          <w:color w:val="BF0D3E"/>
          <w:sz w:val="24"/>
          <w:szCs w:val="24"/>
        </w:rPr>
        <w:t>Jag</w:t>
      </w:r>
      <w:r>
        <w:rPr>
          <w:b/>
          <w:color w:val="00205B"/>
          <w:sz w:val="24"/>
          <w:szCs w:val="24"/>
        </w:rPr>
        <w:t>SPOT</w:t>
      </w:r>
      <w:proofErr w:type="spellEnd"/>
      <w:r>
        <w:rPr>
          <w:color w:val="242424"/>
          <w:sz w:val="24"/>
          <w:szCs w:val="24"/>
        </w:rPr>
        <w:t>). Updated test scores must be received by F</w:t>
      </w:r>
      <w:r>
        <w:rPr>
          <w:color w:val="242424"/>
          <w:sz w:val="24"/>
          <w:szCs w:val="24"/>
        </w:rPr>
        <w:t>ebruary 15th to receive consideration for Freshman scholarships. Depending on the student’s major, official test scores may be considered in the awarding of Departmental Scholarships.</w:t>
      </w:r>
    </w:p>
    <w:p w:rsidR="00183D4A" w:rsidRDefault="00E01C78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 </w:t>
      </w:r>
    </w:p>
    <w:p w:rsidR="00183D4A" w:rsidRDefault="00E01C78">
      <w:pPr>
        <w:shd w:val="clear" w:color="auto" w:fill="FFFFFF"/>
        <w:rPr>
          <w:color w:val="242424"/>
          <w:sz w:val="24"/>
          <w:szCs w:val="24"/>
        </w:rPr>
      </w:pPr>
      <w:r>
        <w:rPr>
          <w:noProof/>
          <w:color w:val="242424"/>
          <w:sz w:val="24"/>
          <w:szCs w:val="24"/>
        </w:rPr>
        <w:drawing>
          <wp:inline distT="114300" distB="114300" distL="114300" distR="114300">
            <wp:extent cx="393700" cy="381000"/>
            <wp:effectExtent l="0" t="0" r="0" b="0"/>
            <wp:docPr id="3" name="image3.png" descr="Checkli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hecklis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42424"/>
          <w:sz w:val="24"/>
          <w:szCs w:val="24"/>
        </w:rPr>
        <w:t xml:space="preserve">Complete the </w:t>
      </w:r>
      <w:hyperlink r:id="rId8">
        <w:r>
          <w:rPr>
            <w:color w:val="3072AB"/>
            <w:sz w:val="24"/>
            <w:szCs w:val="24"/>
            <w:u w:val="single"/>
          </w:rPr>
          <w:t>Free Application for Federal Student Aid (FAFSA)</w:t>
        </w:r>
      </w:hyperlink>
      <w:r>
        <w:rPr>
          <w:color w:val="242424"/>
          <w:sz w:val="24"/>
          <w:szCs w:val="24"/>
        </w:rPr>
        <w:t xml:space="preserve"> to receive consideration for need-based scholarships.</w:t>
      </w:r>
    </w:p>
    <w:p w:rsidR="00183D4A" w:rsidRDefault="00E01C78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 </w:t>
      </w:r>
    </w:p>
    <w:p w:rsidR="00183D4A" w:rsidRDefault="00E01C78">
      <w:pPr>
        <w:shd w:val="clear" w:color="auto" w:fill="FFFFFF"/>
        <w:rPr>
          <w:color w:val="242424"/>
          <w:sz w:val="24"/>
          <w:szCs w:val="24"/>
        </w:rPr>
      </w:pPr>
      <w:r>
        <w:rPr>
          <w:noProof/>
          <w:color w:val="242424"/>
          <w:sz w:val="24"/>
          <w:szCs w:val="24"/>
        </w:rPr>
        <w:drawing>
          <wp:inline distT="114300" distB="114300" distL="114300" distR="114300">
            <wp:extent cx="393700" cy="381000"/>
            <wp:effectExtent l="0" t="0" r="0" b="0"/>
            <wp:docPr id="1" name="image2.png" descr="Checkli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hecklis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42424"/>
          <w:sz w:val="24"/>
          <w:szCs w:val="24"/>
        </w:rPr>
        <w:t xml:space="preserve">Respond to all scholarship offers and complete any additional requirements by the date requested. You will be notified through your USA </w:t>
      </w:r>
      <w:proofErr w:type="spellStart"/>
      <w:r>
        <w:rPr>
          <w:color w:val="242424"/>
          <w:sz w:val="24"/>
          <w:szCs w:val="24"/>
        </w:rPr>
        <w:t>JagMai</w:t>
      </w:r>
      <w:r>
        <w:rPr>
          <w:color w:val="242424"/>
          <w:sz w:val="24"/>
          <w:szCs w:val="24"/>
        </w:rPr>
        <w:t>l</w:t>
      </w:r>
      <w:proofErr w:type="spellEnd"/>
      <w:r>
        <w:rPr>
          <w:color w:val="242424"/>
          <w:sz w:val="24"/>
          <w:szCs w:val="24"/>
        </w:rPr>
        <w:t xml:space="preserve"> account issued to you as well as through the </w:t>
      </w:r>
      <w:hyperlink r:id="rId9">
        <w:proofErr w:type="spellStart"/>
        <w:r>
          <w:rPr>
            <w:b/>
            <w:color w:val="BF0D3E"/>
            <w:sz w:val="24"/>
            <w:szCs w:val="24"/>
            <w:u w:val="single"/>
          </w:rPr>
          <w:t>Jag</w:t>
        </w:r>
      </w:hyperlink>
      <w:hyperlink r:id="rId10">
        <w:r>
          <w:rPr>
            <w:b/>
            <w:color w:val="00205B"/>
            <w:sz w:val="24"/>
            <w:szCs w:val="24"/>
            <w:u w:val="single"/>
          </w:rPr>
          <w:t>SPOT</w:t>
        </w:r>
        <w:proofErr w:type="spellEnd"/>
      </w:hyperlink>
      <w:hyperlink r:id="rId11">
        <w:r>
          <w:rPr>
            <w:color w:val="3072AB"/>
            <w:sz w:val="24"/>
            <w:szCs w:val="24"/>
            <w:u w:val="single"/>
          </w:rPr>
          <w:t xml:space="preserve"> </w:t>
        </w:r>
      </w:hyperlink>
      <w:r>
        <w:rPr>
          <w:color w:val="242424"/>
          <w:sz w:val="24"/>
          <w:szCs w:val="24"/>
        </w:rPr>
        <w:t>portal.</w:t>
      </w:r>
    </w:p>
    <w:p w:rsidR="00183D4A" w:rsidRDefault="00183D4A"/>
    <w:p w:rsidR="00183D4A" w:rsidRDefault="00E01C78">
      <w:pPr>
        <w:pStyle w:val="Heading2"/>
        <w:keepNext w:val="0"/>
        <w:keepLines w:val="0"/>
        <w:shd w:val="clear" w:color="auto" w:fill="FFFFFF"/>
        <w:spacing w:before="300" w:after="160" w:line="264" w:lineRule="auto"/>
        <w:rPr>
          <w:b/>
          <w:color w:val="101046"/>
          <w:sz w:val="24"/>
          <w:szCs w:val="24"/>
          <w:u w:val="single"/>
        </w:rPr>
      </w:pPr>
      <w:bookmarkStart w:id="2" w:name="_bt2mbrsqnibh" w:colFirst="0" w:colLast="0"/>
      <w:bookmarkEnd w:id="2"/>
      <w:r>
        <w:rPr>
          <w:b/>
          <w:color w:val="101046"/>
          <w:sz w:val="24"/>
          <w:szCs w:val="24"/>
          <w:u w:val="single"/>
        </w:rPr>
        <w:t>Admissions Counselor</w:t>
      </w:r>
    </w:p>
    <w:p w:rsidR="00183D4A" w:rsidRDefault="00E01C78">
      <w:r>
        <w:t xml:space="preserve">Ryan </w:t>
      </w:r>
      <w:proofErr w:type="spellStart"/>
      <w:r>
        <w:t>Missanelli</w:t>
      </w:r>
      <w:proofErr w:type="spellEnd"/>
    </w:p>
    <w:p w:rsidR="00183D4A" w:rsidRDefault="00E01C78">
      <w:r>
        <w:t>Regional Admissions Officer</w:t>
      </w:r>
    </w:p>
    <w:p w:rsidR="00183D4A" w:rsidRDefault="00E01C78">
      <w:r>
        <w:t>Call or text: 251-220-9559</w:t>
      </w:r>
    </w:p>
    <w:p w:rsidR="00183D4A" w:rsidRDefault="00E01C78">
      <w:r>
        <w:t>missanelli@southalabama.edu</w:t>
      </w:r>
    </w:p>
    <w:p w:rsidR="00183D4A" w:rsidRDefault="00183D4A">
      <w:pPr>
        <w:pStyle w:val="Heading2"/>
        <w:keepNext w:val="0"/>
        <w:keepLines w:val="0"/>
        <w:shd w:val="clear" w:color="auto" w:fill="FFFFFF"/>
        <w:spacing w:before="300" w:after="160" w:line="264" w:lineRule="auto"/>
        <w:rPr>
          <w:color w:val="3072AB"/>
          <w:sz w:val="24"/>
          <w:szCs w:val="24"/>
        </w:rPr>
      </w:pPr>
      <w:bookmarkStart w:id="3" w:name="_5r8t4h3xhue" w:colFirst="0" w:colLast="0"/>
      <w:bookmarkEnd w:id="3"/>
    </w:p>
    <w:p w:rsidR="00183D4A" w:rsidRDefault="00183D4A">
      <w:pPr>
        <w:rPr>
          <w:rFonts w:ascii="Georgia" w:eastAsia="Georgia" w:hAnsi="Georgia" w:cs="Georgia"/>
          <w:b/>
          <w:color w:val="222222"/>
          <w:sz w:val="24"/>
          <w:szCs w:val="24"/>
          <w:highlight w:val="white"/>
        </w:rPr>
      </w:pPr>
    </w:p>
    <w:sectPr w:rsidR="00183D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F59"/>
    <w:multiLevelType w:val="multilevel"/>
    <w:tmpl w:val="6D387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4523D8"/>
    <w:multiLevelType w:val="multilevel"/>
    <w:tmpl w:val="BE9C0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7D7F54"/>
    <w:multiLevelType w:val="multilevel"/>
    <w:tmpl w:val="02745A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69338C"/>
    <w:multiLevelType w:val="multilevel"/>
    <w:tmpl w:val="65B09578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3165114"/>
    <w:multiLevelType w:val="multilevel"/>
    <w:tmpl w:val="721AD1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0505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4A"/>
    <w:rsid w:val="00183D4A"/>
    <w:rsid w:val="00E0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60BAF-7558-46FC-B033-9A759C02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h/apply-for-aid/faf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uthalabama.edu/departments/admissions/applytous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uthalabama.edu/departments/admissions/applytousa.html" TargetMode="External"/><Relationship Id="rId11" Type="http://schemas.openxmlformats.org/officeDocument/2006/relationships/hyperlink" Target="https://www.southalabama.edu/departments/financialaffairs/scholarships/jagspotlogin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outhalabama.edu/departments/financialaffairs/scholarships/jagspotlog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uthalabama.edu/departments/financialaffairs/scholarships/jagspotlog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Blevins</dc:creator>
  <cp:lastModifiedBy>Heather Blevins</cp:lastModifiedBy>
  <cp:revision>2</cp:revision>
  <dcterms:created xsi:type="dcterms:W3CDTF">2023-10-19T13:52:00Z</dcterms:created>
  <dcterms:modified xsi:type="dcterms:W3CDTF">2023-10-19T13:52:00Z</dcterms:modified>
</cp:coreProperties>
</file>